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613570" w:rsidRPr="00B25405" w:rsidTr="00402898">
        <w:tc>
          <w:tcPr>
            <w:tcW w:w="9209" w:type="dxa"/>
            <w:gridSpan w:val="4"/>
          </w:tcPr>
          <w:p w:rsidR="00613570" w:rsidRDefault="00613570" w:rsidP="00402898">
            <w:pPr>
              <w:rPr>
                <w:b/>
                <w:sz w:val="20"/>
                <w:szCs w:val="20"/>
              </w:rPr>
            </w:pPr>
            <w:r w:rsidRPr="00B25405">
              <w:rPr>
                <w:b/>
                <w:sz w:val="20"/>
                <w:szCs w:val="20"/>
              </w:rPr>
              <w:t>Continuing Statutory Service  (Proposed Base Budget Reduction Targets)</w:t>
            </w:r>
            <w:r>
              <w:rPr>
                <w:b/>
                <w:sz w:val="20"/>
                <w:szCs w:val="20"/>
              </w:rPr>
              <w:t xml:space="preserve"> – Template 2</w:t>
            </w:r>
          </w:p>
          <w:p w:rsidR="00613570" w:rsidRPr="00B25405" w:rsidRDefault="009535E7" w:rsidP="00402898">
            <w:pPr>
              <w:rPr>
                <w:b/>
                <w:sz w:val="20"/>
                <w:szCs w:val="20"/>
              </w:rPr>
            </w:pPr>
            <w:r>
              <w:rPr>
                <w:b/>
                <w:sz w:val="20"/>
                <w:szCs w:val="20"/>
              </w:rPr>
              <w:t>BOP 009</w:t>
            </w:r>
          </w:p>
        </w:tc>
      </w:tr>
      <w:tr w:rsidR="00613570" w:rsidRPr="00B25405" w:rsidTr="00402898">
        <w:tc>
          <w:tcPr>
            <w:tcW w:w="3256" w:type="dxa"/>
            <w:tcBorders>
              <w:bottom w:val="single" w:sz="4" w:space="0" w:color="auto"/>
            </w:tcBorders>
          </w:tcPr>
          <w:p w:rsidR="00613570" w:rsidRDefault="00613570" w:rsidP="00402898">
            <w:pPr>
              <w:rPr>
                <w:sz w:val="20"/>
                <w:szCs w:val="20"/>
              </w:rPr>
            </w:pPr>
            <w:r w:rsidRPr="00B25405">
              <w:rPr>
                <w:sz w:val="20"/>
                <w:szCs w:val="20"/>
              </w:rPr>
              <w:t>Service name</w:t>
            </w:r>
          </w:p>
          <w:p w:rsidR="0005672A" w:rsidRPr="00BF2CBE" w:rsidRDefault="007E630E" w:rsidP="00402898">
            <w:pPr>
              <w:rPr>
                <w:sz w:val="20"/>
                <w:szCs w:val="20"/>
              </w:rPr>
            </w:pPr>
            <w:r>
              <w:rPr>
                <w:sz w:val="20"/>
                <w:szCs w:val="20"/>
              </w:rPr>
              <w:t xml:space="preserve">Skills Learning and development </w:t>
            </w:r>
            <w:r w:rsidR="0050264B">
              <w:rPr>
                <w:sz w:val="20"/>
                <w:szCs w:val="20"/>
              </w:rPr>
              <w:t>(BBR 053)</w:t>
            </w:r>
          </w:p>
        </w:tc>
        <w:tc>
          <w:tcPr>
            <w:tcW w:w="5953" w:type="dxa"/>
            <w:gridSpan w:val="3"/>
            <w:tcBorders>
              <w:bottom w:val="single" w:sz="4" w:space="0" w:color="auto"/>
            </w:tcBorders>
          </w:tcPr>
          <w:p w:rsidR="007E630E" w:rsidRDefault="00294E9E" w:rsidP="00E77D28">
            <w:pPr>
              <w:ind w:left="33"/>
              <w:rPr>
                <w:sz w:val="20"/>
                <w:szCs w:val="20"/>
              </w:rPr>
            </w:pPr>
            <w:r>
              <w:rPr>
                <w:sz w:val="20"/>
                <w:szCs w:val="20"/>
              </w:rPr>
              <w:t xml:space="preserve">Service descriptor – please see over </w:t>
            </w:r>
          </w:p>
          <w:p w:rsidR="006060E3" w:rsidRPr="00B25405" w:rsidRDefault="005A41C8" w:rsidP="00A13283">
            <w:pPr>
              <w:ind w:left="33"/>
              <w:rPr>
                <w:sz w:val="20"/>
                <w:szCs w:val="20"/>
              </w:rPr>
            </w:pPr>
            <w:r>
              <w:rPr>
                <w:sz w:val="20"/>
                <w:szCs w:val="20"/>
              </w:rPr>
              <w:t xml:space="preserve"> </w:t>
            </w:r>
          </w:p>
        </w:tc>
      </w:tr>
      <w:tr w:rsidR="0067664E" w:rsidRPr="00084304" w:rsidTr="00402898">
        <w:tc>
          <w:tcPr>
            <w:tcW w:w="3256" w:type="dxa"/>
            <w:tcBorders>
              <w:bottom w:val="nil"/>
            </w:tcBorders>
          </w:tcPr>
          <w:p w:rsidR="0067664E" w:rsidRPr="00B25405" w:rsidRDefault="0067664E" w:rsidP="0067664E">
            <w:pPr>
              <w:rPr>
                <w:sz w:val="20"/>
                <w:szCs w:val="20"/>
              </w:rPr>
            </w:pPr>
          </w:p>
        </w:tc>
        <w:tc>
          <w:tcPr>
            <w:tcW w:w="1984" w:type="dxa"/>
            <w:tcBorders>
              <w:bottom w:val="nil"/>
            </w:tcBorders>
          </w:tcPr>
          <w:p w:rsidR="0067664E" w:rsidRPr="00084304" w:rsidRDefault="0067664E" w:rsidP="0067664E">
            <w:pPr>
              <w:jc w:val="center"/>
              <w:rPr>
                <w:b/>
                <w:sz w:val="20"/>
                <w:szCs w:val="20"/>
              </w:rPr>
            </w:pPr>
            <w:r w:rsidRPr="00084304">
              <w:rPr>
                <w:b/>
                <w:sz w:val="20"/>
                <w:szCs w:val="20"/>
              </w:rPr>
              <w:t>2015/16</w:t>
            </w:r>
          </w:p>
        </w:tc>
        <w:tc>
          <w:tcPr>
            <w:tcW w:w="1843" w:type="dxa"/>
            <w:tcBorders>
              <w:bottom w:val="nil"/>
            </w:tcBorders>
          </w:tcPr>
          <w:p w:rsidR="0067664E" w:rsidRPr="00084304" w:rsidRDefault="0067664E" w:rsidP="0067664E">
            <w:pPr>
              <w:jc w:val="center"/>
              <w:rPr>
                <w:b/>
                <w:sz w:val="20"/>
                <w:szCs w:val="20"/>
              </w:rPr>
            </w:pPr>
            <w:r w:rsidRPr="00084304">
              <w:rPr>
                <w:b/>
                <w:sz w:val="20"/>
                <w:szCs w:val="20"/>
              </w:rPr>
              <w:t>2016/17</w:t>
            </w:r>
          </w:p>
        </w:tc>
        <w:tc>
          <w:tcPr>
            <w:tcW w:w="2126" w:type="dxa"/>
            <w:tcBorders>
              <w:bottom w:val="nil"/>
            </w:tcBorders>
          </w:tcPr>
          <w:p w:rsidR="0067664E" w:rsidRPr="00084304" w:rsidRDefault="0067664E" w:rsidP="0067664E">
            <w:pPr>
              <w:jc w:val="center"/>
              <w:rPr>
                <w:b/>
                <w:sz w:val="20"/>
                <w:szCs w:val="20"/>
              </w:rPr>
            </w:pPr>
            <w:r w:rsidRPr="00084304">
              <w:rPr>
                <w:b/>
                <w:sz w:val="20"/>
                <w:szCs w:val="20"/>
              </w:rPr>
              <w:t>2017/18</w:t>
            </w:r>
          </w:p>
        </w:tc>
      </w:tr>
      <w:tr w:rsidR="0067664E" w:rsidRPr="00084304" w:rsidTr="00402898">
        <w:tc>
          <w:tcPr>
            <w:tcW w:w="3256" w:type="dxa"/>
            <w:tcBorders>
              <w:top w:val="nil"/>
              <w:bottom w:val="single" w:sz="4" w:space="0" w:color="auto"/>
            </w:tcBorders>
          </w:tcPr>
          <w:p w:rsidR="0067664E" w:rsidRPr="00B25405" w:rsidRDefault="0067664E" w:rsidP="0067664E">
            <w:pPr>
              <w:rPr>
                <w:sz w:val="20"/>
                <w:szCs w:val="20"/>
              </w:rPr>
            </w:pPr>
          </w:p>
        </w:tc>
        <w:tc>
          <w:tcPr>
            <w:tcW w:w="1984" w:type="dxa"/>
            <w:tcBorders>
              <w:top w:val="nil"/>
              <w:bottom w:val="single" w:sz="4" w:space="0" w:color="auto"/>
            </w:tcBorders>
          </w:tcPr>
          <w:p w:rsidR="0067664E" w:rsidRPr="00084304" w:rsidRDefault="0067664E" w:rsidP="0067664E">
            <w:pPr>
              <w:jc w:val="center"/>
              <w:rPr>
                <w:b/>
                <w:sz w:val="20"/>
                <w:szCs w:val="20"/>
              </w:rPr>
            </w:pPr>
            <w:r w:rsidRPr="00084304">
              <w:rPr>
                <w:b/>
                <w:sz w:val="20"/>
                <w:szCs w:val="20"/>
              </w:rPr>
              <w:t>£m</w:t>
            </w:r>
          </w:p>
        </w:tc>
        <w:tc>
          <w:tcPr>
            <w:tcW w:w="1843" w:type="dxa"/>
            <w:tcBorders>
              <w:top w:val="nil"/>
              <w:bottom w:val="single" w:sz="4" w:space="0" w:color="auto"/>
            </w:tcBorders>
          </w:tcPr>
          <w:p w:rsidR="0067664E" w:rsidRPr="00084304" w:rsidRDefault="0067664E" w:rsidP="0067664E">
            <w:pPr>
              <w:jc w:val="center"/>
              <w:rPr>
                <w:b/>
                <w:sz w:val="20"/>
                <w:szCs w:val="20"/>
              </w:rPr>
            </w:pPr>
            <w:r w:rsidRPr="00084304">
              <w:rPr>
                <w:b/>
                <w:sz w:val="20"/>
                <w:szCs w:val="20"/>
              </w:rPr>
              <w:t>£m</w:t>
            </w:r>
          </w:p>
        </w:tc>
        <w:tc>
          <w:tcPr>
            <w:tcW w:w="2126" w:type="dxa"/>
            <w:tcBorders>
              <w:top w:val="nil"/>
              <w:bottom w:val="single" w:sz="4" w:space="0" w:color="auto"/>
            </w:tcBorders>
          </w:tcPr>
          <w:p w:rsidR="0067664E" w:rsidRPr="00084304" w:rsidRDefault="0067664E" w:rsidP="0067664E">
            <w:pPr>
              <w:jc w:val="center"/>
              <w:rPr>
                <w:b/>
                <w:sz w:val="20"/>
                <w:szCs w:val="20"/>
              </w:rPr>
            </w:pPr>
            <w:r w:rsidRPr="00084304">
              <w:rPr>
                <w:b/>
                <w:sz w:val="20"/>
                <w:szCs w:val="20"/>
              </w:rPr>
              <w:t>£m</w:t>
            </w:r>
          </w:p>
        </w:tc>
      </w:tr>
      <w:tr w:rsidR="0067664E" w:rsidRPr="00084304" w:rsidTr="00402898">
        <w:tc>
          <w:tcPr>
            <w:tcW w:w="3256" w:type="dxa"/>
            <w:tcBorders>
              <w:top w:val="nil"/>
              <w:bottom w:val="single" w:sz="4" w:space="0" w:color="auto"/>
            </w:tcBorders>
          </w:tcPr>
          <w:p w:rsidR="0067664E" w:rsidRPr="004D588F" w:rsidRDefault="0067664E" w:rsidP="0067664E">
            <w:pPr>
              <w:rPr>
                <w:sz w:val="20"/>
                <w:szCs w:val="20"/>
              </w:rPr>
            </w:pPr>
            <w:r>
              <w:rPr>
                <w:sz w:val="20"/>
                <w:szCs w:val="20"/>
              </w:rPr>
              <w:t>Forecast before savings</w:t>
            </w:r>
          </w:p>
        </w:tc>
        <w:tc>
          <w:tcPr>
            <w:tcW w:w="1984" w:type="dxa"/>
            <w:tcBorders>
              <w:top w:val="nil"/>
              <w:bottom w:val="single" w:sz="4" w:space="0" w:color="auto"/>
            </w:tcBorders>
          </w:tcPr>
          <w:p w:rsidR="0067664E" w:rsidRPr="00F32F81" w:rsidRDefault="0067664E" w:rsidP="0067664E">
            <w:pPr>
              <w:jc w:val="right"/>
              <w:rPr>
                <w:sz w:val="20"/>
                <w:szCs w:val="20"/>
              </w:rPr>
            </w:pPr>
            <w:r w:rsidRPr="00FB7ABB">
              <w:rPr>
                <w:noProof/>
                <w:sz w:val="20"/>
                <w:szCs w:val="20"/>
              </w:rPr>
              <w:t>5.115</w:t>
            </w:r>
          </w:p>
        </w:tc>
        <w:tc>
          <w:tcPr>
            <w:tcW w:w="1843" w:type="dxa"/>
            <w:tcBorders>
              <w:top w:val="nil"/>
              <w:bottom w:val="single" w:sz="4" w:space="0" w:color="auto"/>
            </w:tcBorders>
          </w:tcPr>
          <w:p w:rsidR="0067664E" w:rsidRPr="00F32F81" w:rsidRDefault="0067664E" w:rsidP="0067664E">
            <w:pPr>
              <w:jc w:val="right"/>
              <w:rPr>
                <w:sz w:val="20"/>
                <w:szCs w:val="20"/>
              </w:rPr>
            </w:pPr>
            <w:r w:rsidRPr="00FB7ABB">
              <w:rPr>
                <w:noProof/>
                <w:sz w:val="20"/>
                <w:szCs w:val="20"/>
              </w:rPr>
              <w:t>5.155</w:t>
            </w:r>
          </w:p>
        </w:tc>
        <w:tc>
          <w:tcPr>
            <w:tcW w:w="2126" w:type="dxa"/>
            <w:tcBorders>
              <w:top w:val="nil"/>
              <w:bottom w:val="single" w:sz="4" w:space="0" w:color="auto"/>
            </w:tcBorders>
          </w:tcPr>
          <w:p w:rsidR="0067664E" w:rsidRPr="00F32F81" w:rsidRDefault="0067664E" w:rsidP="0067664E">
            <w:pPr>
              <w:jc w:val="right"/>
              <w:rPr>
                <w:sz w:val="20"/>
                <w:szCs w:val="20"/>
              </w:rPr>
            </w:pPr>
            <w:r w:rsidRPr="00FB7ABB">
              <w:rPr>
                <w:noProof/>
                <w:sz w:val="20"/>
                <w:szCs w:val="20"/>
              </w:rPr>
              <w:t>5.207</w:t>
            </w:r>
          </w:p>
        </w:tc>
      </w:tr>
      <w:tr w:rsidR="0067664E" w:rsidRPr="00C844FA" w:rsidTr="00402898">
        <w:tc>
          <w:tcPr>
            <w:tcW w:w="3256" w:type="dxa"/>
            <w:shd w:val="clear" w:color="auto" w:fill="auto"/>
          </w:tcPr>
          <w:p w:rsidR="0067664E" w:rsidRDefault="0067664E" w:rsidP="0067664E">
            <w:pPr>
              <w:rPr>
                <w:sz w:val="20"/>
                <w:szCs w:val="20"/>
              </w:rPr>
            </w:pPr>
            <w:r>
              <w:rPr>
                <w:sz w:val="20"/>
                <w:szCs w:val="20"/>
              </w:rPr>
              <w:t>Budgeted savings (cumulative)</w:t>
            </w:r>
          </w:p>
        </w:tc>
        <w:tc>
          <w:tcPr>
            <w:tcW w:w="1984" w:type="dxa"/>
            <w:shd w:val="clear" w:color="auto" w:fill="auto"/>
          </w:tcPr>
          <w:p w:rsidR="0067664E" w:rsidRPr="00F32F81" w:rsidRDefault="0067664E" w:rsidP="0067664E">
            <w:pPr>
              <w:jc w:val="right"/>
              <w:rPr>
                <w:sz w:val="20"/>
                <w:szCs w:val="20"/>
              </w:rPr>
            </w:pPr>
            <w:r w:rsidRPr="00FB7ABB">
              <w:rPr>
                <w:noProof/>
                <w:sz w:val="20"/>
                <w:szCs w:val="20"/>
              </w:rPr>
              <w:t>-0.390</w:t>
            </w:r>
          </w:p>
        </w:tc>
        <w:tc>
          <w:tcPr>
            <w:tcW w:w="1843" w:type="dxa"/>
            <w:shd w:val="clear" w:color="auto" w:fill="auto"/>
          </w:tcPr>
          <w:p w:rsidR="0067664E" w:rsidRPr="00F32F81" w:rsidRDefault="0067664E" w:rsidP="0067664E">
            <w:pPr>
              <w:jc w:val="right"/>
              <w:rPr>
                <w:sz w:val="20"/>
                <w:szCs w:val="20"/>
              </w:rPr>
            </w:pPr>
            <w:r w:rsidRPr="00FB7ABB">
              <w:rPr>
                <w:noProof/>
                <w:sz w:val="20"/>
                <w:szCs w:val="20"/>
              </w:rPr>
              <w:t>-0.390</w:t>
            </w:r>
          </w:p>
        </w:tc>
        <w:tc>
          <w:tcPr>
            <w:tcW w:w="2126" w:type="dxa"/>
            <w:shd w:val="clear" w:color="auto" w:fill="auto"/>
          </w:tcPr>
          <w:p w:rsidR="0067664E" w:rsidRPr="00F32F81" w:rsidRDefault="0067664E" w:rsidP="0067664E">
            <w:pPr>
              <w:jc w:val="right"/>
              <w:rPr>
                <w:sz w:val="20"/>
                <w:szCs w:val="20"/>
              </w:rPr>
            </w:pPr>
            <w:r w:rsidRPr="00FB7ABB">
              <w:rPr>
                <w:noProof/>
                <w:sz w:val="20"/>
                <w:szCs w:val="20"/>
              </w:rPr>
              <w:t>-0.645</w:t>
            </w:r>
          </w:p>
        </w:tc>
      </w:tr>
      <w:tr w:rsidR="0067664E" w:rsidRPr="00B25405" w:rsidTr="00402898">
        <w:tc>
          <w:tcPr>
            <w:tcW w:w="3256" w:type="dxa"/>
          </w:tcPr>
          <w:p w:rsidR="0067664E" w:rsidRDefault="0067664E" w:rsidP="0067664E">
            <w:pPr>
              <w:rPr>
                <w:sz w:val="20"/>
                <w:szCs w:val="20"/>
              </w:rPr>
            </w:pPr>
            <w:r>
              <w:rPr>
                <w:sz w:val="20"/>
                <w:szCs w:val="20"/>
              </w:rPr>
              <w:t>Planned net expenditure</w:t>
            </w:r>
            <w:r w:rsidRPr="004D588F">
              <w:rPr>
                <w:sz w:val="20"/>
                <w:szCs w:val="20"/>
              </w:rPr>
              <w:t xml:space="preserve"> </w:t>
            </w:r>
          </w:p>
          <w:p w:rsidR="0067664E" w:rsidRDefault="0067664E" w:rsidP="0067664E">
            <w:pPr>
              <w:rPr>
                <w:sz w:val="20"/>
                <w:szCs w:val="20"/>
              </w:rPr>
            </w:pPr>
            <w:r w:rsidRPr="005B77F6">
              <w:rPr>
                <w:b/>
                <w:sz w:val="20"/>
                <w:szCs w:val="20"/>
              </w:rPr>
              <w:t>(Approved 2015 net budget)</w:t>
            </w:r>
          </w:p>
        </w:tc>
        <w:tc>
          <w:tcPr>
            <w:tcW w:w="1984" w:type="dxa"/>
            <w:tcBorders>
              <w:bottom w:val="single" w:sz="4" w:space="0" w:color="auto"/>
            </w:tcBorders>
          </w:tcPr>
          <w:p w:rsidR="0067664E" w:rsidRPr="00B25405" w:rsidRDefault="0067664E" w:rsidP="0067664E">
            <w:pPr>
              <w:jc w:val="right"/>
              <w:rPr>
                <w:sz w:val="20"/>
                <w:szCs w:val="20"/>
              </w:rPr>
            </w:pPr>
            <w:r w:rsidRPr="00FB7ABB">
              <w:rPr>
                <w:noProof/>
                <w:sz w:val="20"/>
                <w:szCs w:val="20"/>
              </w:rPr>
              <w:t>4.725</w:t>
            </w:r>
          </w:p>
        </w:tc>
        <w:tc>
          <w:tcPr>
            <w:tcW w:w="1843" w:type="dxa"/>
            <w:tcBorders>
              <w:bottom w:val="single" w:sz="4" w:space="0" w:color="auto"/>
            </w:tcBorders>
          </w:tcPr>
          <w:p w:rsidR="0067664E" w:rsidRPr="00B25405" w:rsidRDefault="0067664E" w:rsidP="0067664E">
            <w:pPr>
              <w:jc w:val="right"/>
              <w:rPr>
                <w:sz w:val="20"/>
                <w:szCs w:val="20"/>
              </w:rPr>
            </w:pPr>
            <w:r w:rsidRPr="00FB7ABB">
              <w:rPr>
                <w:noProof/>
                <w:sz w:val="20"/>
                <w:szCs w:val="20"/>
              </w:rPr>
              <w:t>4.765</w:t>
            </w:r>
          </w:p>
        </w:tc>
        <w:tc>
          <w:tcPr>
            <w:tcW w:w="2126" w:type="dxa"/>
            <w:tcBorders>
              <w:bottom w:val="single" w:sz="4" w:space="0" w:color="auto"/>
            </w:tcBorders>
          </w:tcPr>
          <w:p w:rsidR="0067664E" w:rsidRPr="00B25405" w:rsidRDefault="0067664E" w:rsidP="0067664E">
            <w:pPr>
              <w:jc w:val="right"/>
              <w:rPr>
                <w:sz w:val="20"/>
                <w:szCs w:val="20"/>
              </w:rPr>
            </w:pPr>
            <w:r w:rsidRPr="00FB7ABB">
              <w:rPr>
                <w:noProof/>
                <w:sz w:val="20"/>
                <w:szCs w:val="20"/>
              </w:rPr>
              <w:t>4.562</w:t>
            </w:r>
          </w:p>
        </w:tc>
      </w:tr>
      <w:tr w:rsidR="0067664E" w:rsidRPr="00B25405" w:rsidTr="00402898">
        <w:tc>
          <w:tcPr>
            <w:tcW w:w="3256" w:type="dxa"/>
            <w:tcBorders>
              <w:right w:val="single" w:sz="4" w:space="0" w:color="auto"/>
            </w:tcBorders>
            <w:shd w:val="clear" w:color="auto" w:fill="D9D9D9" w:themeFill="background1" w:themeFillShade="D9"/>
          </w:tcPr>
          <w:p w:rsidR="0067664E" w:rsidRPr="001774BD" w:rsidRDefault="0067664E" w:rsidP="0067664E">
            <w:pP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664E" w:rsidRPr="00B25405" w:rsidRDefault="0067664E" w:rsidP="0067664E">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664E" w:rsidRPr="00B25405" w:rsidRDefault="0067664E" w:rsidP="0067664E">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664E" w:rsidRPr="00B25405" w:rsidRDefault="0067664E" w:rsidP="0067664E">
            <w:pPr>
              <w:jc w:val="right"/>
              <w:rPr>
                <w:sz w:val="20"/>
                <w:szCs w:val="20"/>
              </w:rPr>
            </w:pPr>
          </w:p>
        </w:tc>
      </w:tr>
      <w:tr w:rsidR="0067664E" w:rsidRPr="00B25405" w:rsidTr="00AD4EBE">
        <w:tc>
          <w:tcPr>
            <w:tcW w:w="3256" w:type="dxa"/>
            <w:tcBorders>
              <w:right w:val="single" w:sz="4" w:space="0" w:color="auto"/>
            </w:tcBorders>
            <w:shd w:val="clear" w:color="auto" w:fill="auto"/>
          </w:tcPr>
          <w:p w:rsidR="0067664E" w:rsidRPr="00E43B74" w:rsidRDefault="0067664E" w:rsidP="0067664E">
            <w:pPr>
              <w:rPr>
                <w:sz w:val="20"/>
                <w:szCs w:val="20"/>
              </w:rPr>
            </w:pPr>
            <w:r w:rsidRPr="00E43B74">
              <w:rPr>
                <w:sz w:val="20"/>
                <w:szCs w:val="20"/>
              </w:rPr>
              <w:t>August 15 monitoring position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7664E" w:rsidRPr="00B25405" w:rsidRDefault="0067664E" w:rsidP="0067664E">
            <w:pPr>
              <w:jc w:val="right"/>
              <w:rPr>
                <w:sz w:val="20"/>
                <w:szCs w:val="20"/>
              </w:rPr>
            </w:pPr>
            <w:r w:rsidRPr="00FB7ABB">
              <w:rPr>
                <w:noProof/>
                <w:sz w:val="20"/>
                <w:szCs w:val="20"/>
              </w:rPr>
              <w:t>-0.275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664E" w:rsidRPr="00B25405" w:rsidRDefault="0067664E" w:rsidP="0067664E">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7664E" w:rsidRPr="00B25405" w:rsidRDefault="0067664E" w:rsidP="0067664E">
            <w:pPr>
              <w:jc w:val="right"/>
              <w:rPr>
                <w:sz w:val="20"/>
                <w:szCs w:val="20"/>
              </w:rPr>
            </w:pPr>
          </w:p>
        </w:tc>
      </w:tr>
      <w:tr w:rsidR="0067664E" w:rsidRPr="00B25405" w:rsidTr="00402898">
        <w:tc>
          <w:tcPr>
            <w:tcW w:w="3256" w:type="dxa"/>
            <w:tcBorders>
              <w:right w:val="single" w:sz="4" w:space="0" w:color="auto"/>
            </w:tcBorders>
          </w:tcPr>
          <w:p w:rsidR="0067664E" w:rsidRPr="00EA1D7C" w:rsidRDefault="0067664E" w:rsidP="0067664E">
            <w:pPr>
              <w:rPr>
                <w:sz w:val="20"/>
                <w:szCs w:val="20"/>
              </w:rPr>
            </w:pPr>
            <w:r w:rsidRPr="00EA1D7C">
              <w:rPr>
                <w:sz w:val="20"/>
                <w:szCs w:val="20"/>
              </w:rPr>
              <w:t>Demand variations</w:t>
            </w:r>
            <w:r>
              <w:rPr>
                <w:sz w:val="20"/>
                <w:szCs w:val="20"/>
              </w:rPr>
              <w:t xml:space="preserve"> (cumulative)</w:t>
            </w:r>
          </w:p>
        </w:tc>
        <w:tc>
          <w:tcPr>
            <w:tcW w:w="1984" w:type="dxa"/>
            <w:tcBorders>
              <w:top w:val="single" w:sz="4" w:space="0" w:color="auto"/>
              <w:left w:val="single" w:sz="4" w:space="0" w:color="auto"/>
              <w:bottom w:val="single" w:sz="4" w:space="0" w:color="auto"/>
              <w:right w:val="single" w:sz="4" w:space="0" w:color="auto"/>
            </w:tcBorders>
          </w:tcPr>
          <w:p w:rsidR="0067664E" w:rsidRPr="00B25405" w:rsidRDefault="0067664E" w:rsidP="0067664E">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7664E" w:rsidRPr="00B25405" w:rsidRDefault="0067664E" w:rsidP="0067664E">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67664E" w:rsidRPr="00B25405" w:rsidRDefault="0067664E" w:rsidP="0067664E">
            <w:pPr>
              <w:jc w:val="right"/>
              <w:rPr>
                <w:sz w:val="20"/>
                <w:szCs w:val="20"/>
              </w:rPr>
            </w:pPr>
            <w:r w:rsidRPr="00FB7ABB">
              <w:rPr>
                <w:noProof/>
                <w:sz w:val="20"/>
                <w:szCs w:val="20"/>
              </w:rPr>
              <w:t>0.000</w:t>
            </w:r>
          </w:p>
        </w:tc>
      </w:tr>
      <w:tr w:rsidR="0067664E" w:rsidRPr="00B25405" w:rsidTr="00402898">
        <w:tc>
          <w:tcPr>
            <w:tcW w:w="3256" w:type="dxa"/>
            <w:tcBorders>
              <w:right w:val="single" w:sz="4" w:space="0" w:color="auto"/>
            </w:tcBorders>
          </w:tcPr>
          <w:p w:rsidR="0067664E" w:rsidRPr="00EA1D7C" w:rsidRDefault="0067664E" w:rsidP="0067664E">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67664E" w:rsidRPr="00B25405" w:rsidRDefault="0067664E" w:rsidP="0067664E">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7664E" w:rsidRPr="00B25405" w:rsidRDefault="0067664E" w:rsidP="0067664E">
            <w:pPr>
              <w:jc w:val="right"/>
              <w:rPr>
                <w:sz w:val="20"/>
                <w:szCs w:val="20"/>
              </w:rPr>
            </w:pPr>
            <w:r w:rsidRPr="00FB7ABB">
              <w:rPr>
                <w:noProof/>
                <w:sz w:val="20"/>
                <w:szCs w:val="20"/>
              </w:rPr>
              <w:t>-0.015</w:t>
            </w:r>
          </w:p>
        </w:tc>
        <w:tc>
          <w:tcPr>
            <w:tcW w:w="2126" w:type="dxa"/>
            <w:tcBorders>
              <w:top w:val="single" w:sz="4" w:space="0" w:color="auto"/>
              <w:left w:val="single" w:sz="4" w:space="0" w:color="auto"/>
              <w:bottom w:val="single" w:sz="4" w:space="0" w:color="auto"/>
              <w:right w:val="single" w:sz="4" w:space="0" w:color="auto"/>
            </w:tcBorders>
          </w:tcPr>
          <w:p w:rsidR="0067664E" w:rsidRPr="00B25405" w:rsidRDefault="0067664E" w:rsidP="0067664E">
            <w:pPr>
              <w:jc w:val="right"/>
              <w:rPr>
                <w:sz w:val="20"/>
                <w:szCs w:val="20"/>
              </w:rPr>
            </w:pPr>
            <w:r w:rsidRPr="00FB7ABB">
              <w:rPr>
                <w:noProof/>
                <w:sz w:val="20"/>
                <w:szCs w:val="20"/>
              </w:rPr>
              <w:t>-0.030</w:t>
            </w:r>
          </w:p>
        </w:tc>
      </w:tr>
      <w:tr w:rsidR="0067664E" w:rsidRPr="00C844FA" w:rsidTr="00402898">
        <w:tc>
          <w:tcPr>
            <w:tcW w:w="3256" w:type="dxa"/>
            <w:shd w:val="clear" w:color="auto" w:fill="auto"/>
          </w:tcPr>
          <w:p w:rsidR="0067664E" w:rsidRPr="004D588F" w:rsidRDefault="0067664E" w:rsidP="0067664E">
            <w:pPr>
              <w:rPr>
                <w:sz w:val="20"/>
                <w:szCs w:val="20"/>
              </w:rPr>
            </w:pPr>
            <w:r>
              <w:rPr>
                <w:sz w:val="20"/>
                <w:szCs w:val="20"/>
              </w:rPr>
              <w:t>Undeliverable savings (cumulative)</w:t>
            </w:r>
          </w:p>
        </w:tc>
        <w:tc>
          <w:tcPr>
            <w:tcW w:w="1984" w:type="dxa"/>
            <w:shd w:val="clear" w:color="auto" w:fill="auto"/>
          </w:tcPr>
          <w:p w:rsidR="0067664E" w:rsidRPr="00C844FA" w:rsidRDefault="0067664E" w:rsidP="0067664E">
            <w:pPr>
              <w:jc w:val="right"/>
              <w:rPr>
                <w:sz w:val="20"/>
                <w:szCs w:val="20"/>
              </w:rPr>
            </w:pPr>
            <w:r w:rsidRPr="00FB7ABB">
              <w:rPr>
                <w:noProof/>
                <w:sz w:val="20"/>
                <w:szCs w:val="20"/>
              </w:rPr>
              <w:t>0.000</w:t>
            </w:r>
          </w:p>
        </w:tc>
        <w:tc>
          <w:tcPr>
            <w:tcW w:w="1843" w:type="dxa"/>
            <w:shd w:val="clear" w:color="auto" w:fill="auto"/>
          </w:tcPr>
          <w:p w:rsidR="0067664E" w:rsidRPr="00C844FA" w:rsidRDefault="0067664E" w:rsidP="0067664E">
            <w:pPr>
              <w:jc w:val="right"/>
              <w:rPr>
                <w:sz w:val="20"/>
                <w:szCs w:val="20"/>
              </w:rPr>
            </w:pPr>
            <w:r w:rsidRPr="00FB7ABB">
              <w:rPr>
                <w:noProof/>
                <w:sz w:val="20"/>
                <w:szCs w:val="20"/>
              </w:rPr>
              <w:t>0.000</w:t>
            </w:r>
          </w:p>
        </w:tc>
        <w:tc>
          <w:tcPr>
            <w:tcW w:w="2126" w:type="dxa"/>
            <w:shd w:val="clear" w:color="auto" w:fill="auto"/>
          </w:tcPr>
          <w:p w:rsidR="0067664E" w:rsidRPr="00C844FA" w:rsidRDefault="0067664E" w:rsidP="0067664E">
            <w:pPr>
              <w:jc w:val="right"/>
              <w:rPr>
                <w:sz w:val="20"/>
                <w:szCs w:val="20"/>
              </w:rPr>
            </w:pPr>
            <w:r w:rsidRPr="00FB7ABB">
              <w:rPr>
                <w:noProof/>
                <w:sz w:val="20"/>
                <w:szCs w:val="20"/>
              </w:rPr>
              <w:t>0.000</w:t>
            </w:r>
          </w:p>
        </w:tc>
      </w:tr>
      <w:tr w:rsidR="0067664E" w:rsidRPr="00C844FA" w:rsidTr="00402898">
        <w:tc>
          <w:tcPr>
            <w:tcW w:w="3256" w:type="dxa"/>
            <w:shd w:val="clear" w:color="auto" w:fill="auto"/>
          </w:tcPr>
          <w:p w:rsidR="0067664E" w:rsidRDefault="0067664E" w:rsidP="0067664E">
            <w:pPr>
              <w:rPr>
                <w:sz w:val="20"/>
                <w:szCs w:val="20"/>
              </w:rPr>
            </w:pPr>
            <w:r>
              <w:rPr>
                <w:sz w:val="20"/>
                <w:szCs w:val="20"/>
              </w:rPr>
              <w:t>Loss of grant (cumulative)</w:t>
            </w:r>
          </w:p>
        </w:tc>
        <w:tc>
          <w:tcPr>
            <w:tcW w:w="1984" w:type="dxa"/>
            <w:shd w:val="clear" w:color="auto" w:fill="auto"/>
          </w:tcPr>
          <w:p w:rsidR="0067664E" w:rsidRPr="00C844FA" w:rsidRDefault="0067664E" w:rsidP="0067664E">
            <w:pPr>
              <w:jc w:val="right"/>
              <w:rPr>
                <w:sz w:val="20"/>
                <w:szCs w:val="20"/>
              </w:rPr>
            </w:pPr>
            <w:r w:rsidRPr="00FB7ABB">
              <w:rPr>
                <w:noProof/>
                <w:sz w:val="20"/>
                <w:szCs w:val="20"/>
              </w:rPr>
              <w:t>0.000</w:t>
            </w:r>
          </w:p>
        </w:tc>
        <w:tc>
          <w:tcPr>
            <w:tcW w:w="1843" w:type="dxa"/>
            <w:shd w:val="clear" w:color="auto" w:fill="auto"/>
          </w:tcPr>
          <w:p w:rsidR="0067664E" w:rsidRPr="00C844FA" w:rsidRDefault="0067664E" w:rsidP="0067664E">
            <w:pPr>
              <w:jc w:val="right"/>
              <w:rPr>
                <w:sz w:val="20"/>
                <w:szCs w:val="20"/>
              </w:rPr>
            </w:pPr>
            <w:r w:rsidRPr="00FB7ABB">
              <w:rPr>
                <w:noProof/>
                <w:sz w:val="20"/>
                <w:szCs w:val="20"/>
              </w:rPr>
              <w:t>0.000</w:t>
            </w:r>
          </w:p>
        </w:tc>
        <w:tc>
          <w:tcPr>
            <w:tcW w:w="2126" w:type="dxa"/>
            <w:shd w:val="clear" w:color="auto" w:fill="auto"/>
          </w:tcPr>
          <w:p w:rsidR="0067664E" w:rsidRPr="00C844FA" w:rsidRDefault="0067664E" w:rsidP="0067664E">
            <w:pPr>
              <w:jc w:val="right"/>
              <w:rPr>
                <w:sz w:val="20"/>
                <w:szCs w:val="20"/>
              </w:rPr>
            </w:pPr>
            <w:r w:rsidRPr="00FB7ABB">
              <w:rPr>
                <w:noProof/>
                <w:sz w:val="20"/>
                <w:szCs w:val="20"/>
              </w:rPr>
              <w:t>0.000</w:t>
            </w:r>
          </w:p>
        </w:tc>
      </w:tr>
      <w:tr w:rsidR="0067664E" w:rsidRPr="00B25405" w:rsidTr="00402898">
        <w:tc>
          <w:tcPr>
            <w:tcW w:w="3256" w:type="dxa"/>
            <w:tcBorders>
              <w:bottom w:val="single" w:sz="4" w:space="0" w:color="auto"/>
            </w:tcBorders>
            <w:shd w:val="clear" w:color="auto" w:fill="BFBFBF" w:themeFill="background1" w:themeFillShade="BF"/>
          </w:tcPr>
          <w:p w:rsidR="0067664E" w:rsidRPr="00EA1D7C" w:rsidRDefault="0067664E" w:rsidP="0067664E">
            <w:pPr>
              <w:rPr>
                <w:b/>
                <w:sz w:val="20"/>
                <w:szCs w:val="20"/>
              </w:rPr>
            </w:pPr>
            <w:r>
              <w:rPr>
                <w:b/>
                <w:sz w:val="20"/>
                <w:szCs w:val="20"/>
              </w:rPr>
              <w:t>Revised Resource Requirement</w:t>
            </w:r>
          </w:p>
        </w:tc>
        <w:tc>
          <w:tcPr>
            <w:tcW w:w="1984" w:type="dxa"/>
            <w:tcBorders>
              <w:bottom w:val="single" w:sz="4" w:space="0" w:color="auto"/>
            </w:tcBorders>
            <w:shd w:val="clear" w:color="auto" w:fill="BFBFBF" w:themeFill="background1" w:themeFillShade="BF"/>
          </w:tcPr>
          <w:p w:rsidR="0067664E" w:rsidRPr="00F32F81" w:rsidRDefault="0067664E" w:rsidP="0067664E">
            <w:pPr>
              <w:jc w:val="right"/>
              <w:rPr>
                <w:b/>
                <w:sz w:val="20"/>
                <w:szCs w:val="20"/>
              </w:rPr>
            </w:pPr>
            <w:r w:rsidRPr="00FB7ABB">
              <w:rPr>
                <w:b/>
                <w:noProof/>
                <w:sz w:val="20"/>
                <w:szCs w:val="20"/>
              </w:rPr>
              <w:t>4.450</w:t>
            </w:r>
          </w:p>
        </w:tc>
        <w:tc>
          <w:tcPr>
            <w:tcW w:w="1843" w:type="dxa"/>
            <w:tcBorders>
              <w:bottom w:val="single" w:sz="4" w:space="0" w:color="auto"/>
            </w:tcBorders>
            <w:shd w:val="clear" w:color="auto" w:fill="BFBFBF" w:themeFill="background1" w:themeFillShade="BF"/>
          </w:tcPr>
          <w:p w:rsidR="0067664E" w:rsidRPr="00F32F81" w:rsidRDefault="0067664E" w:rsidP="0067664E">
            <w:pPr>
              <w:jc w:val="right"/>
              <w:rPr>
                <w:b/>
                <w:sz w:val="20"/>
                <w:szCs w:val="20"/>
              </w:rPr>
            </w:pPr>
            <w:r w:rsidRPr="00FB7ABB">
              <w:rPr>
                <w:b/>
                <w:noProof/>
                <w:sz w:val="20"/>
                <w:szCs w:val="20"/>
              </w:rPr>
              <w:t>4.750</w:t>
            </w:r>
          </w:p>
        </w:tc>
        <w:tc>
          <w:tcPr>
            <w:tcW w:w="2126" w:type="dxa"/>
            <w:tcBorders>
              <w:bottom w:val="single" w:sz="4" w:space="0" w:color="auto"/>
            </w:tcBorders>
            <w:shd w:val="clear" w:color="auto" w:fill="BFBFBF" w:themeFill="background1" w:themeFillShade="BF"/>
          </w:tcPr>
          <w:p w:rsidR="0067664E" w:rsidRPr="00F32F81" w:rsidRDefault="0067664E" w:rsidP="0067664E">
            <w:pPr>
              <w:jc w:val="right"/>
              <w:rPr>
                <w:b/>
                <w:sz w:val="20"/>
                <w:szCs w:val="20"/>
              </w:rPr>
            </w:pPr>
            <w:r w:rsidRPr="00FB7ABB">
              <w:rPr>
                <w:b/>
                <w:noProof/>
                <w:sz w:val="20"/>
                <w:szCs w:val="20"/>
              </w:rPr>
              <w:t>4.532</w:t>
            </w:r>
          </w:p>
        </w:tc>
      </w:tr>
      <w:tr w:rsidR="0067664E" w:rsidRPr="00B25405" w:rsidTr="00402898">
        <w:tc>
          <w:tcPr>
            <w:tcW w:w="3256" w:type="dxa"/>
            <w:tcBorders>
              <w:bottom w:val="single" w:sz="4" w:space="0" w:color="auto"/>
            </w:tcBorders>
            <w:shd w:val="clear" w:color="auto" w:fill="auto"/>
          </w:tcPr>
          <w:p w:rsidR="0067664E" w:rsidRPr="00F26FCF" w:rsidRDefault="0067664E" w:rsidP="0067664E">
            <w:pPr>
              <w:rPr>
                <w:sz w:val="20"/>
                <w:szCs w:val="20"/>
              </w:rPr>
            </w:pPr>
            <w:r>
              <w:rPr>
                <w:sz w:val="20"/>
                <w:szCs w:val="20"/>
              </w:rPr>
              <w:t>Additional savings target for approval (cumulative)</w:t>
            </w:r>
          </w:p>
        </w:tc>
        <w:tc>
          <w:tcPr>
            <w:tcW w:w="1984" w:type="dxa"/>
            <w:tcBorders>
              <w:bottom w:val="single" w:sz="4" w:space="0" w:color="auto"/>
            </w:tcBorders>
            <w:shd w:val="clear" w:color="auto" w:fill="auto"/>
          </w:tcPr>
          <w:p w:rsidR="0067664E" w:rsidRPr="00B25405" w:rsidRDefault="0067664E" w:rsidP="0067664E">
            <w:pPr>
              <w:jc w:val="right"/>
              <w:rPr>
                <w:sz w:val="20"/>
                <w:szCs w:val="20"/>
              </w:rPr>
            </w:pPr>
            <w:r w:rsidRPr="00FB7ABB">
              <w:rPr>
                <w:noProof/>
                <w:sz w:val="20"/>
                <w:szCs w:val="20"/>
              </w:rPr>
              <w:t>0.000</w:t>
            </w:r>
          </w:p>
        </w:tc>
        <w:tc>
          <w:tcPr>
            <w:tcW w:w="1843" w:type="dxa"/>
            <w:tcBorders>
              <w:bottom w:val="single" w:sz="4" w:space="0" w:color="auto"/>
            </w:tcBorders>
            <w:shd w:val="clear" w:color="auto" w:fill="auto"/>
          </w:tcPr>
          <w:p w:rsidR="0067664E" w:rsidRPr="00B25405" w:rsidRDefault="00484606" w:rsidP="0067664E">
            <w:pPr>
              <w:jc w:val="right"/>
              <w:rPr>
                <w:sz w:val="20"/>
                <w:szCs w:val="20"/>
              </w:rPr>
            </w:pPr>
            <w:r>
              <w:rPr>
                <w:noProof/>
                <w:sz w:val="20"/>
                <w:szCs w:val="20"/>
              </w:rPr>
              <w:t>-0.646</w:t>
            </w:r>
          </w:p>
        </w:tc>
        <w:tc>
          <w:tcPr>
            <w:tcW w:w="2126" w:type="dxa"/>
            <w:tcBorders>
              <w:bottom w:val="single" w:sz="4" w:space="0" w:color="auto"/>
            </w:tcBorders>
            <w:shd w:val="clear" w:color="auto" w:fill="auto"/>
          </w:tcPr>
          <w:p w:rsidR="0067664E" w:rsidRPr="00B25405" w:rsidRDefault="0067664E" w:rsidP="0067664E">
            <w:pPr>
              <w:jc w:val="right"/>
              <w:rPr>
                <w:sz w:val="20"/>
                <w:szCs w:val="20"/>
              </w:rPr>
            </w:pPr>
            <w:r w:rsidRPr="00FB7ABB">
              <w:rPr>
                <w:noProof/>
                <w:sz w:val="20"/>
                <w:szCs w:val="20"/>
              </w:rPr>
              <w:t>-0.646</w:t>
            </w:r>
          </w:p>
        </w:tc>
      </w:tr>
      <w:tr w:rsidR="0067664E" w:rsidRPr="00B25405" w:rsidTr="00402898">
        <w:tc>
          <w:tcPr>
            <w:tcW w:w="3256" w:type="dxa"/>
            <w:tcBorders>
              <w:bottom w:val="single" w:sz="4" w:space="0" w:color="auto"/>
            </w:tcBorders>
            <w:shd w:val="clear" w:color="auto" w:fill="AEAAAA" w:themeFill="background2" w:themeFillShade="BF"/>
          </w:tcPr>
          <w:p w:rsidR="0067664E" w:rsidRPr="00F26FCF" w:rsidRDefault="0067664E" w:rsidP="0067664E">
            <w:pPr>
              <w:rPr>
                <w:b/>
                <w:sz w:val="20"/>
                <w:szCs w:val="20"/>
              </w:rPr>
            </w:pPr>
            <w:r w:rsidRPr="00F26FCF">
              <w:rPr>
                <w:b/>
                <w:sz w:val="20"/>
                <w:szCs w:val="20"/>
              </w:rPr>
              <w:t>Revised proposed budget</w:t>
            </w:r>
          </w:p>
        </w:tc>
        <w:tc>
          <w:tcPr>
            <w:tcW w:w="1984" w:type="dxa"/>
            <w:tcBorders>
              <w:bottom w:val="single" w:sz="4" w:space="0" w:color="auto"/>
            </w:tcBorders>
            <w:shd w:val="clear" w:color="auto" w:fill="AEAAAA" w:themeFill="background2" w:themeFillShade="BF"/>
          </w:tcPr>
          <w:p w:rsidR="0067664E" w:rsidRPr="00F32F81" w:rsidRDefault="0067664E" w:rsidP="0067664E">
            <w:pPr>
              <w:jc w:val="right"/>
              <w:rPr>
                <w:b/>
                <w:sz w:val="20"/>
                <w:szCs w:val="20"/>
              </w:rPr>
            </w:pPr>
            <w:r w:rsidRPr="00FB7ABB">
              <w:rPr>
                <w:b/>
                <w:noProof/>
                <w:sz w:val="20"/>
                <w:szCs w:val="20"/>
              </w:rPr>
              <w:t>4.450</w:t>
            </w:r>
          </w:p>
        </w:tc>
        <w:tc>
          <w:tcPr>
            <w:tcW w:w="1843" w:type="dxa"/>
            <w:tcBorders>
              <w:bottom w:val="single" w:sz="4" w:space="0" w:color="auto"/>
            </w:tcBorders>
            <w:shd w:val="clear" w:color="auto" w:fill="AEAAAA" w:themeFill="background2" w:themeFillShade="BF"/>
          </w:tcPr>
          <w:p w:rsidR="0067664E" w:rsidRPr="00F32F81" w:rsidRDefault="00484606" w:rsidP="0067664E">
            <w:pPr>
              <w:jc w:val="right"/>
              <w:rPr>
                <w:b/>
                <w:sz w:val="20"/>
                <w:szCs w:val="20"/>
              </w:rPr>
            </w:pPr>
            <w:r>
              <w:rPr>
                <w:b/>
                <w:noProof/>
                <w:sz w:val="20"/>
                <w:szCs w:val="20"/>
              </w:rPr>
              <w:t>4.10</w:t>
            </w:r>
            <w:r w:rsidR="0067664E" w:rsidRPr="00FB7ABB">
              <w:rPr>
                <w:b/>
                <w:noProof/>
                <w:sz w:val="20"/>
                <w:szCs w:val="20"/>
              </w:rPr>
              <w:t>4</w:t>
            </w:r>
          </w:p>
        </w:tc>
        <w:tc>
          <w:tcPr>
            <w:tcW w:w="2126" w:type="dxa"/>
            <w:tcBorders>
              <w:bottom w:val="single" w:sz="4" w:space="0" w:color="auto"/>
            </w:tcBorders>
            <w:shd w:val="clear" w:color="auto" w:fill="AEAAAA" w:themeFill="background2" w:themeFillShade="BF"/>
          </w:tcPr>
          <w:p w:rsidR="0067664E" w:rsidRPr="00F32F81" w:rsidRDefault="0067664E" w:rsidP="0067664E">
            <w:pPr>
              <w:jc w:val="right"/>
              <w:rPr>
                <w:b/>
                <w:sz w:val="20"/>
                <w:szCs w:val="20"/>
              </w:rPr>
            </w:pPr>
            <w:r w:rsidRPr="00FB7ABB">
              <w:rPr>
                <w:b/>
                <w:noProof/>
                <w:sz w:val="20"/>
                <w:szCs w:val="20"/>
              </w:rPr>
              <w:t>3.886</w:t>
            </w:r>
          </w:p>
        </w:tc>
      </w:tr>
      <w:tr w:rsidR="0067664E" w:rsidRPr="00B25405" w:rsidTr="00402898">
        <w:tc>
          <w:tcPr>
            <w:tcW w:w="3256" w:type="dxa"/>
            <w:shd w:val="clear" w:color="auto" w:fill="auto"/>
          </w:tcPr>
          <w:p w:rsidR="0067664E" w:rsidRPr="00B25405" w:rsidRDefault="0067664E" w:rsidP="0067664E">
            <w:pPr>
              <w:rPr>
                <w:sz w:val="20"/>
                <w:szCs w:val="20"/>
              </w:rPr>
            </w:pPr>
            <w:r>
              <w:rPr>
                <w:sz w:val="20"/>
                <w:szCs w:val="20"/>
              </w:rPr>
              <w:t>Proposed risk</w:t>
            </w:r>
            <w:r w:rsidRPr="00B25405">
              <w:rPr>
                <w:sz w:val="20"/>
                <w:szCs w:val="20"/>
              </w:rPr>
              <w:t xml:space="preserve"> reserve provision</w:t>
            </w:r>
            <w:r w:rsidR="00E30422">
              <w:rPr>
                <w:sz w:val="20"/>
                <w:szCs w:val="20"/>
              </w:rPr>
              <w:t xml:space="preserve"> (discrete year)</w:t>
            </w:r>
          </w:p>
        </w:tc>
        <w:tc>
          <w:tcPr>
            <w:tcW w:w="1984" w:type="dxa"/>
            <w:shd w:val="clear" w:color="auto" w:fill="auto"/>
          </w:tcPr>
          <w:p w:rsidR="0067664E" w:rsidRPr="00B25405" w:rsidRDefault="0067664E" w:rsidP="0067664E">
            <w:pPr>
              <w:jc w:val="right"/>
              <w:rPr>
                <w:sz w:val="20"/>
                <w:szCs w:val="20"/>
              </w:rPr>
            </w:pPr>
          </w:p>
        </w:tc>
        <w:tc>
          <w:tcPr>
            <w:tcW w:w="1843" w:type="dxa"/>
            <w:shd w:val="clear" w:color="auto" w:fill="auto"/>
          </w:tcPr>
          <w:p w:rsidR="0067664E" w:rsidRPr="00B25405" w:rsidRDefault="00484606" w:rsidP="0067664E">
            <w:pPr>
              <w:jc w:val="right"/>
              <w:rPr>
                <w:sz w:val="20"/>
                <w:szCs w:val="20"/>
              </w:rPr>
            </w:pPr>
            <w:r>
              <w:rPr>
                <w:noProof/>
                <w:sz w:val="20"/>
                <w:szCs w:val="20"/>
              </w:rPr>
              <w:t>1.013</w:t>
            </w:r>
          </w:p>
        </w:tc>
        <w:tc>
          <w:tcPr>
            <w:tcW w:w="2126" w:type="dxa"/>
            <w:shd w:val="clear" w:color="auto" w:fill="auto"/>
          </w:tcPr>
          <w:p w:rsidR="0067664E" w:rsidRPr="00B25405" w:rsidRDefault="0067664E" w:rsidP="0067664E">
            <w:pPr>
              <w:jc w:val="right"/>
              <w:rPr>
                <w:sz w:val="20"/>
                <w:szCs w:val="20"/>
              </w:rPr>
            </w:pPr>
            <w:r w:rsidRPr="00FB7ABB">
              <w:rPr>
                <w:noProof/>
                <w:sz w:val="20"/>
                <w:szCs w:val="20"/>
              </w:rPr>
              <w:t>0.646</w:t>
            </w:r>
          </w:p>
        </w:tc>
      </w:tr>
      <w:tr w:rsidR="00613570" w:rsidRPr="00B25405" w:rsidTr="00402898">
        <w:tc>
          <w:tcPr>
            <w:tcW w:w="3256" w:type="dxa"/>
          </w:tcPr>
          <w:p w:rsidR="00613570" w:rsidRDefault="00613570" w:rsidP="00402898">
            <w:pPr>
              <w:rPr>
                <w:sz w:val="20"/>
                <w:szCs w:val="20"/>
              </w:rPr>
            </w:pPr>
            <w:r w:rsidRPr="0066742C">
              <w:rPr>
                <w:sz w:val="20"/>
                <w:szCs w:val="20"/>
              </w:rPr>
              <w:t xml:space="preserve">Policy Decisions needed to deliver the </w:t>
            </w:r>
            <w:r>
              <w:rPr>
                <w:sz w:val="20"/>
                <w:szCs w:val="20"/>
              </w:rPr>
              <w:t xml:space="preserve">target </w:t>
            </w:r>
            <w:r w:rsidRPr="0066742C">
              <w:rPr>
                <w:sz w:val="20"/>
                <w:szCs w:val="20"/>
              </w:rPr>
              <w:t xml:space="preserve">savings </w:t>
            </w:r>
          </w:p>
          <w:p w:rsidR="00613570" w:rsidRPr="00B25405" w:rsidRDefault="00613570" w:rsidP="00402898">
            <w:pPr>
              <w:rPr>
                <w:sz w:val="20"/>
                <w:szCs w:val="20"/>
              </w:rPr>
            </w:pPr>
          </w:p>
        </w:tc>
        <w:tc>
          <w:tcPr>
            <w:tcW w:w="5953" w:type="dxa"/>
            <w:gridSpan w:val="3"/>
          </w:tcPr>
          <w:p w:rsidR="00D5394B" w:rsidRPr="00D5394B" w:rsidRDefault="00D5394B" w:rsidP="00D5394B">
            <w:pPr>
              <w:pStyle w:val="ListParagraph"/>
              <w:numPr>
                <w:ilvl w:val="0"/>
                <w:numId w:val="5"/>
              </w:numPr>
              <w:rPr>
                <w:sz w:val="20"/>
                <w:szCs w:val="20"/>
              </w:rPr>
            </w:pPr>
            <w:r w:rsidRPr="00D5394B">
              <w:rPr>
                <w:sz w:val="20"/>
                <w:szCs w:val="20"/>
              </w:rPr>
              <w:t>Reduce the Skills Learning and Development service to a core service supporting the needs of the downsized county council. This will involve a 25% reduction in the size of the core service</w:t>
            </w:r>
            <w:r>
              <w:rPr>
                <w:sz w:val="20"/>
                <w:szCs w:val="20"/>
              </w:rPr>
              <w:t xml:space="preserve"> by April 2018</w:t>
            </w:r>
            <w:r w:rsidRPr="00D5394B">
              <w:rPr>
                <w:sz w:val="20"/>
                <w:szCs w:val="20"/>
              </w:rPr>
              <w:t xml:space="preserve">.  </w:t>
            </w:r>
          </w:p>
          <w:p w:rsidR="00D5394B" w:rsidRPr="00D5394B" w:rsidRDefault="00D5394B" w:rsidP="00B62D13">
            <w:pPr>
              <w:rPr>
                <w:sz w:val="20"/>
                <w:szCs w:val="20"/>
              </w:rPr>
            </w:pPr>
          </w:p>
          <w:p w:rsidR="00D5394B" w:rsidRDefault="00D5394B" w:rsidP="00D5394B">
            <w:pPr>
              <w:pStyle w:val="ListParagraph"/>
              <w:numPr>
                <w:ilvl w:val="0"/>
                <w:numId w:val="5"/>
              </w:numPr>
              <w:rPr>
                <w:sz w:val="20"/>
                <w:szCs w:val="20"/>
              </w:rPr>
            </w:pPr>
            <w:r>
              <w:rPr>
                <w:sz w:val="20"/>
                <w:szCs w:val="20"/>
              </w:rPr>
              <w:t>To limit the recruitment of trainees, apprentices and graduates to the core business requirements of the county council and transfer the function to the HR service from 1</w:t>
            </w:r>
            <w:r w:rsidRPr="00D5394B">
              <w:rPr>
                <w:sz w:val="20"/>
                <w:szCs w:val="20"/>
                <w:vertAlign w:val="superscript"/>
              </w:rPr>
              <w:t>st</w:t>
            </w:r>
            <w:r>
              <w:rPr>
                <w:sz w:val="20"/>
                <w:szCs w:val="20"/>
              </w:rPr>
              <w:t xml:space="preserve"> April 2017.</w:t>
            </w:r>
          </w:p>
          <w:p w:rsidR="00D5394B" w:rsidRPr="00D5394B" w:rsidRDefault="00D5394B" w:rsidP="00D5394B">
            <w:pPr>
              <w:pStyle w:val="ListParagraph"/>
              <w:rPr>
                <w:sz w:val="20"/>
                <w:szCs w:val="20"/>
              </w:rPr>
            </w:pPr>
          </w:p>
          <w:p w:rsidR="00D5394B" w:rsidRDefault="00D5394B" w:rsidP="00D5394B">
            <w:pPr>
              <w:pStyle w:val="ListParagraph"/>
              <w:numPr>
                <w:ilvl w:val="0"/>
                <w:numId w:val="5"/>
              </w:numPr>
              <w:rPr>
                <w:sz w:val="20"/>
                <w:szCs w:val="20"/>
              </w:rPr>
            </w:pPr>
            <w:r>
              <w:rPr>
                <w:sz w:val="20"/>
                <w:szCs w:val="20"/>
              </w:rPr>
              <w:t>To c</w:t>
            </w:r>
            <w:r w:rsidRPr="00D5394B">
              <w:rPr>
                <w:sz w:val="20"/>
                <w:szCs w:val="20"/>
              </w:rPr>
              <w:t xml:space="preserve">ontinue the </w:t>
            </w:r>
            <w:r>
              <w:rPr>
                <w:sz w:val="20"/>
                <w:szCs w:val="20"/>
              </w:rPr>
              <w:t>E</w:t>
            </w:r>
            <w:r w:rsidRPr="00D5394B">
              <w:rPr>
                <w:sz w:val="20"/>
                <w:szCs w:val="20"/>
              </w:rPr>
              <w:t xml:space="preserve">x </w:t>
            </w:r>
            <w:r>
              <w:rPr>
                <w:sz w:val="20"/>
                <w:szCs w:val="20"/>
              </w:rPr>
              <w:t>S</w:t>
            </w:r>
            <w:r w:rsidRPr="00D5394B">
              <w:rPr>
                <w:sz w:val="20"/>
                <w:szCs w:val="20"/>
              </w:rPr>
              <w:t>ervice mentoring programme and the Employ</w:t>
            </w:r>
            <w:r>
              <w:rPr>
                <w:sz w:val="20"/>
                <w:szCs w:val="20"/>
              </w:rPr>
              <w:t>ment</w:t>
            </w:r>
            <w:r w:rsidRPr="00D5394B">
              <w:rPr>
                <w:sz w:val="20"/>
                <w:szCs w:val="20"/>
              </w:rPr>
              <w:t xml:space="preserve"> Support programme</w:t>
            </w:r>
            <w:r>
              <w:rPr>
                <w:sz w:val="20"/>
                <w:szCs w:val="20"/>
              </w:rPr>
              <w:t xml:space="preserve"> until </w:t>
            </w:r>
            <w:r w:rsidRPr="00D5394B">
              <w:rPr>
                <w:sz w:val="20"/>
                <w:szCs w:val="20"/>
              </w:rPr>
              <w:t>the end of the current commitments in</w:t>
            </w:r>
            <w:r>
              <w:rPr>
                <w:sz w:val="20"/>
                <w:szCs w:val="20"/>
              </w:rPr>
              <w:t xml:space="preserve"> March 2017 and not to make any further commitments.</w:t>
            </w:r>
          </w:p>
          <w:p w:rsidR="00293901" w:rsidRPr="00293901" w:rsidRDefault="00293901" w:rsidP="00293901">
            <w:pPr>
              <w:pStyle w:val="ListParagraph"/>
              <w:rPr>
                <w:sz w:val="20"/>
                <w:szCs w:val="20"/>
              </w:rPr>
            </w:pPr>
          </w:p>
          <w:p w:rsidR="00293901" w:rsidRPr="00293901" w:rsidRDefault="00293901" w:rsidP="00293901">
            <w:pPr>
              <w:pStyle w:val="ListParagraph"/>
              <w:numPr>
                <w:ilvl w:val="0"/>
                <w:numId w:val="5"/>
              </w:numPr>
              <w:rPr>
                <w:sz w:val="20"/>
                <w:szCs w:val="20"/>
              </w:rPr>
            </w:pPr>
            <w:r>
              <w:rPr>
                <w:sz w:val="20"/>
                <w:szCs w:val="20"/>
              </w:rPr>
              <w:t>To continue to deliver the Disability Employment Support service through to the end of the existing DWP contract 31</w:t>
            </w:r>
            <w:r w:rsidRPr="00671C79">
              <w:rPr>
                <w:sz w:val="20"/>
                <w:szCs w:val="20"/>
                <w:vertAlign w:val="superscript"/>
              </w:rPr>
              <w:t>st</w:t>
            </w:r>
            <w:r>
              <w:rPr>
                <w:sz w:val="20"/>
                <w:szCs w:val="20"/>
              </w:rPr>
              <w:t xml:space="preserve"> March 2017, continuation of service beyond this would be dependent on a new contract and align with    Lancashire Adult Learning College employment support functions for individuals with disabilities.</w:t>
            </w:r>
          </w:p>
          <w:p w:rsidR="00D5394B" w:rsidRPr="00D5394B" w:rsidRDefault="00D5394B" w:rsidP="00D5394B">
            <w:pPr>
              <w:pStyle w:val="ListParagraph"/>
              <w:rPr>
                <w:sz w:val="20"/>
                <w:szCs w:val="20"/>
              </w:rPr>
            </w:pPr>
          </w:p>
          <w:p w:rsidR="00D5394B" w:rsidRDefault="00FE0EF1" w:rsidP="004167B7">
            <w:pPr>
              <w:pStyle w:val="ListParagraph"/>
              <w:numPr>
                <w:ilvl w:val="0"/>
                <w:numId w:val="5"/>
              </w:numPr>
              <w:rPr>
                <w:sz w:val="20"/>
                <w:szCs w:val="20"/>
              </w:rPr>
            </w:pPr>
            <w:r w:rsidRPr="0040554A">
              <w:rPr>
                <w:sz w:val="20"/>
                <w:szCs w:val="20"/>
              </w:rPr>
              <w:t xml:space="preserve">To remove </w:t>
            </w:r>
            <w:r w:rsidR="00D5394B" w:rsidRPr="0040554A">
              <w:rPr>
                <w:sz w:val="20"/>
                <w:szCs w:val="20"/>
              </w:rPr>
              <w:t xml:space="preserve">expenditure </w:t>
            </w:r>
            <w:r w:rsidR="0040554A" w:rsidRPr="0040554A">
              <w:rPr>
                <w:sz w:val="20"/>
                <w:szCs w:val="20"/>
              </w:rPr>
              <w:t>above the final service level from the revenue budget from April 2016, and make provision within reserves for the balance in 2016/17 and 2017/18.</w:t>
            </w:r>
          </w:p>
          <w:p w:rsidR="00C800DE" w:rsidRPr="00293901" w:rsidRDefault="00C800DE" w:rsidP="00293901">
            <w:pPr>
              <w:pStyle w:val="ListParagraph"/>
              <w:rPr>
                <w:sz w:val="20"/>
                <w:szCs w:val="20"/>
              </w:rPr>
            </w:pPr>
          </w:p>
          <w:p w:rsidR="00D5394B" w:rsidRDefault="00D5394B" w:rsidP="00B62D13">
            <w:pPr>
              <w:rPr>
                <w:b/>
                <w:sz w:val="20"/>
                <w:szCs w:val="20"/>
              </w:rPr>
            </w:pPr>
          </w:p>
          <w:p w:rsidR="0003371D" w:rsidRPr="00126AE8" w:rsidRDefault="0003371D" w:rsidP="0003371D">
            <w:pPr>
              <w:rPr>
                <w:sz w:val="20"/>
                <w:szCs w:val="20"/>
              </w:rPr>
            </w:pPr>
          </w:p>
        </w:tc>
      </w:tr>
      <w:tr w:rsidR="00613570" w:rsidRPr="00CA2B52" w:rsidTr="00402898">
        <w:tc>
          <w:tcPr>
            <w:tcW w:w="3256" w:type="dxa"/>
          </w:tcPr>
          <w:p w:rsidR="00613570" w:rsidRPr="0066742C" w:rsidRDefault="00613570" w:rsidP="00402898">
            <w:pPr>
              <w:rPr>
                <w:sz w:val="20"/>
                <w:szCs w:val="20"/>
              </w:rPr>
            </w:pPr>
            <w:r>
              <w:rPr>
                <w:sz w:val="20"/>
                <w:szCs w:val="20"/>
              </w:rPr>
              <w:t>Impact on service</w:t>
            </w:r>
          </w:p>
        </w:tc>
        <w:tc>
          <w:tcPr>
            <w:tcW w:w="5953" w:type="dxa"/>
            <w:gridSpan w:val="3"/>
          </w:tcPr>
          <w:p w:rsidR="0040554A" w:rsidRDefault="0040554A" w:rsidP="006C6C4E">
            <w:pPr>
              <w:rPr>
                <w:sz w:val="20"/>
                <w:szCs w:val="20"/>
              </w:rPr>
            </w:pPr>
            <w:r>
              <w:rPr>
                <w:sz w:val="20"/>
                <w:szCs w:val="20"/>
              </w:rPr>
              <w:t xml:space="preserve">There will be no impact upon current commitments and the reduced service will be commensurate with the requirements of a smaller organisation. </w:t>
            </w:r>
          </w:p>
          <w:p w:rsidR="00705653" w:rsidRDefault="00705653" w:rsidP="006C6C4E">
            <w:pPr>
              <w:rPr>
                <w:sz w:val="20"/>
                <w:szCs w:val="20"/>
              </w:rPr>
            </w:pPr>
          </w:p>
          <w:p w:rsidR="00126AE8" w:rsidRPr="00CA2B52" w:rsidRDefault="00705653" w:rsidP="00705653">
            <w:pPr>
              <w:rPr>
                <w:sz w:val="20"/>
                <w:szCs w:val="20"/>
              </w:rPr>
            </w:pPr>
            <w:r>
              <w:rPr>
                <w:sz w:val="20"/>
                <w:szCs w:val="20"/>
              </w:rPr>
              <w:lastRenderedPageBreak/>
              <w:t xml:space="preserve">From April 2016 there will be no further commitments with respect to Workstart, Future Horizons, Apprenticeships and Professional Traineeship other than those to meet the core business needs of the council. </w:t>
            </w:r>
          </w:p>
        </w:tc>
      </w:tr>
      <w:tr w:rsidR="00613570" w:rsidRPr="00084304" w:rsidTr="00402898">
        <w:tc>
          <w:tcPr>
            <w:tcW w:w="3256" w:type="dxa"/>
          </w:tcPr>
          <w:p w:rsidR="00613570" w:rsidRPr="00B25405" w:rsidRDefault="00613570" w:rsidP="00402898">
            <w:pPr>
              <w:rPr>
                <w:sz w:val="20"/>
                <w:szCs w:val="20"/>
              </w:rPr>
            </w:pPr>
            <w:r w:rsidRPr="00B25405">
              <w:rPr>
                <w:sz w:val="20"/>
                <w:szCs w:val="20"/>
              </w:rPr>
              <w:lastRenderedPageBreak/>
              <w:t xml:space="preserve">Actions needed to deliver the </w:t>
            </w:r>
            <w:r>
              <w:rPr>
                <w:sz w:val="20"/>
                <w:szCs w:val="20"/>
              </w:rPr>
              <w:t xml:space="preserve">target </w:t>
            </w:r>
            <w:r w:rsidRPr="00B25405">
              <w:rPr>
                <w:sz w:val="20"/>
                <w:szCs w:val="20"/>
              </w:rPr>
              <w:t>savings</w:t>
            </w:r>
          </w:p>
        </w:tc>
        <w:tc>
          <w:tcPr>
            <w:tcW w:w="5953" w:type="dxa"/>
            <w:gridSpan w:val="3"/>
          </w:tcPr>
          <w:p w:rsidR="002D53F7" w:rsidRDefault="00705653" w:rsidP="00AF6679">
            <w:pPr>
              <w:rPr>
                <w:sz w:val="20"/>
                <w:szCs w:val="20"/>
              </w:rPr>
            </w:pPr>
            <w:r w:rsidRPr="00705653">
              <w:rPr>
                <w:sz w:val="20"/>
                <w:szCs w:val="20"/>
              </w:rPr>
              <w:t>Not to enter into any further commitments</w:t>
            </w:r>
            <w:r w:rsidR="002D53F7">
              <w:rPr>
                <w:sz w:val="20"/>
                <w:szCs w:val="20"/>
              </w:rPr>
              <w:t>.</w:t>
            </w:r>
          </w:p>
          <w:p w:rsidR="002D53F7" w:rsidRDefault="002D53F7" w:rsidP="00AF6679">
            <w:pPr>
              <w:rPr>
                <w:sz w:val="20"/>
                <w:szCs w:val="20"/>
              </w:rPr>
            </w:pPr>
          </w:p>
          <w:p w:rsidR="002D53F7" w:rsidRDefault="002D53F7" w:rsidP="00AF6679">
            <w:pPr>
              <w:rPr>
                <w:sz w:val="20"/>
                <w:szCs w:val="20"/>
              </w:rPr>
            </w:pPr>
            <w:r>
              <w:rPr>
                <w:sz w:val="20"/>
                <w:szCs w:val="20"/>
              </w:rPr>
              <w:t>R</w:t>
            </w:r>
            <w:r w:rsidR="00705653" w:rsidRPr="00705653">
              <w:rPr>
                <w:sz w:val="20"/>
                <w:szCs w:val="20"/>
              </w:rPr>
              <w:t>econfigure the service and transfer</w:t>
            </w:r>
            <w:r>
              <w:rPr>
                <w:sz w:val="20"/>
                <w:szCs w:val="20"/>
              </w:rPr>
              <w:t xml:space="preserve"> functions to the HR service April 2017. </w:t>
            </w:r>
          </w:p>
          <w:p w:rsidR="00C800DE" w:rsidRDefault="00C800DE" w:rsidP="00AF6679">
            <w:pPr>
              <w:rPr>
                <w:sz w:val="20"/>
                <w:szCs w:val="20"/>
              </w:rPr>
            </w:pPr>
          </w:p>
          <w:p w:rsidR="00C800DE" w:rsidRDefault="00C800DE" w:rsidP="00AF6679">
            <w:pPr>
              <w:rPr>
                <w:sz w:val="20"/>
                <w:szCs w:val="20"/>
              </w:rPr>
            </w:pPr>
            <w:r>
              <w:rPr>
                <w:sz w:val="20"/>
                <w:szCs w:val="20"/>
              </w:rPr>
              <w:t>Review and reconfigure the service re Disability Employment Service and transfer functions to LAL if appropriate</w:t>
            </w:r>
          </w:p>
          <w:p w:rsidR="002D53F7" w:rsidRDefault="002D53F7" w:rsidP="00AF6679">
            <w:pPr>
              <w:rPr>
                <w:sz w:val="20"/>
                <w:szCs w:val="20"/>
              </w:rPr>
            </w:pPr>
          </w:p>
          <w:p w:rsidR="002D53F7" w:rsidRDefault="002D53F7" w:rsidP="00AF6679">
            <w:pPr>
              <w:rPr>
                <w:sz w:val="20"/>
                <w:szCs w:val="20"/>
              </w:rPr>
            </w:pPr>
            <w:r>
              <w:rPr>
                <w:sz w:val="20"/>
                <w:szCs w:val="20"/>
              </w:rPr>
              <w:t>Statutory consultation process with Trades Unions with respect to potential for redundancies, July 2016.</w:t>
            </w:r>
          </w:p>
          <w:p w:rsidR="002D53F7" w:rsidRDefault="002D53F7" w:rsidP="00AF6679">
            <w:pPr>
              <w:rPr>
                <w:sz w:val="20"/>
                <w:szCs w:val="20"/>
              </w:rPr>
            </w:pPr>
          </w:p>
          <w:p w:rsidR="00705653" w:rsidRDefault="002D53F7" w:rsidP="00AF6679">
            <w:pPr>
              <w:rPr>
                <w:sz w:val="20"/>
                <w:szCs w:val="20"/>
              </w:rPr>
            </w:pPr>
            <w:r>
              <w:rPr>
                <w:sz w:val="20"/>
                <w:szCs w:val="20"/>
              </w:rPr>
              <w:t>Consult on staffing structure to apply from April 2017, in July 2016.</w:t>
            </w:r>
          </w:p>
          <w:p w:rsidR="002D53F7" w:rsidRDefault="002D53F7" w:rsidP="00AF6679">
            <w:pPr>
              <w:rPr>
                <w:sz w:val="20"/>
                <w:szCs w:val="20"/>
              </w:rPr>
            </w:pPr>
          </w:p>
          <w:p w:rsidR="002D53F7" w:rsidRDefault="002D53F7" w:rsidP="00AF6679">
            <w:pPr>
              <w:rPr>
                <w:b/>
                <w:sz w:val="20"/>
                <w:szCs w:val="20"/>
              </w:rPr>
            </w:pPr>
            <w:r>
              <w:rPr>
                <w:sz w:val="20"/>
                <w:szCs w:val="20"/>
              </w:rPr>
              <w:t>Consult on staffing structure to apply from April 2018, in July 2017.</w:t>
            </w:r>
          </w:p>
          <w:p w:rsidR="0003371D" w:rsidRPr="00084304" w:rsidRDefault="0003371D" w:rsidP="0001389C">
            <w:pPr>
              <w:rPr>
                <w:sz w:val="20"/>
                <w:szCs w:val="20"/>
              </w:rPr>
            </w:pPr>
          </w:p>
        </w:tc>
      </w:tr>
      <w:tr w:rsidR="00613570" w:rsidRPr="008039DA" w:rsidTr="00402898">
        <w:tc>
          <w:tcPr>
            <w:tcW w:w="3256" w:type="dxa"/>
          </w:tcPr>
          <w:p w:rsidR="00613570" w:rsidRPr="00B25405" w:rsidRDefault="00613570" w:rsidP="00402898">
            <w:pPr>
              <w:rPr>
                <w:sz w:val="20"/>
                <w:szCs w:val="20"/>
              </w:rPr>
            </w:pPr>
            <w:r>
              <w:rPr>
                <w:sz w:val="20"/>
                <w:szCs w:val="20"/>
              </w:rPr>
              <w:t>Equality Analysis</w:t>
            </w:r>
          </w:p>
        </w:tc>
        <w:tc>
          <w:tcPr>
            <w:tcW w:w="5953" w:type="dxa"/>
            <w:gridSpan w:val="3"/>
          </w:tcPr>
          <w:p w:rsidR="00613570" w:rsidRDefault="004A23C6" w:rsidP="00402898">
            <w:pPr>
              <w:rPr>
                <w:sz w:val="20"/>
                <w:szCs w:val="20"/>
              </w:rPr>
            </w:pPr>
            <w:hyperlink r:id="rId5" w:history="1">
              <w:hyperlink r:id="rId6" w:history="1">
                <w:r w:rsidR="00ED666C" w:rsidRPr="00ED666C">
                  <w:rPr>
                    <w:rStyle w:val="Hyperlink"/>
                    <w:sz w:val="20"/>
                    <w:szCs w:val="20"/>
                  </w:rPr>
                  <w:t>Click here to view docu</w:t>
                </w:r>
                <w:bookmarkStart w:id="0" w:name="_GoBack"/>
                <w:bookmarkEnd w:id="0"/>
                <w:r w:rsidR="00ED666C" w:rsidRPr="00ED666C">
                  <w:rPr>
                    <w:rStyle w:val="Hyperlink"/>
                    <w:sz w:val="20"/>
                    <w:szCs w:val="20"/>
                  </w:rPr>
                  <w:t>m</w:t>
                </w:r>
                <w:r w:rsidR="00ED666C" w:rsidRPr="00ED666C">
                  <w:rPr>
                    <w:rStyle w:val="Hyperlink"/>
                    <w:sz w:val="20"/>
                    <w:szCs w:val="20"/>
                  </w:rPr>
                  <w:t>ent</w:t>
                </w:r>
              </w:hyperlink>
            </w:hyperlink>
          </w:p>
          <w:p w:rsidR="00613570" w:rsidRPr="008039DA" w:rsidRDefault="00613570" w:rsidP="00402898">
            <w:pPr>
              <w:rPr>
                <w:sz w:val="20"/>
                <w:szCs w:val="20"/>
              </w:rPr>
            </w:pPr>
          </w:p>
        </w:tc>
      </w:tr>
    </w:tbl>
    <w:p w:rsidR="00BB7EC4" w:rsidRDefault="00BB7EC4" w:rsidP="00294E9E">
      <w:pPr>
        <w:pStyle w:val="ListParagraph"/>
        <w:ind w:left="33"/>
        <w:rPr>
          <w:b/>
          <w:sz w:val="20"/>
          <w:szCs w:val="20"/>
        </w:rPr>
      </w:pPr>
    </w:p>
    <w:p w:rsidR="00587893" w:rsidRPr="00294E9E" w:rsidRDefault="00294E9E" w:rsidP="00294E9E">
      <w:pPr>
        <w:pStyle w:val="ListParagraph"/>
        <w:ind w:left="33"/>
        <w:rPr>
          <w:b/>
          <w:sz w:val="20"/>
          <w:szCs w:val="20"/>
        </w:rPr>
      </w:pPr>
      <w:r w:rsidRPr="00294E9E">
        <w:rPr>
          <w:b/>
          <w:sz w:val="20"/>
          <w:szCs w:val="20"/>
        </w:rPr>
        <w:t>What does this service deliver?</w:t>
      </w:r>
    </w:p>
    <w:p w:rsidR="00705653" w:rsidRPr="00A62870" w:rsidRDefault="00705653" w:rsidP="00705653">
      <w:pPr>
        <w:spacing w:line="240" w:lineRule="auto"/>
        <w:rPr>
          <w:color w:val="FF0000"/>
        </w:rPr>
      </w:pPr>
      <w:r>
        <w:rPr>
          <w:b/>
          <w:sz w:val="20"/>
          <w:szCs w:val="20"/>
        </w:rPr>
        <w:t>Core L&amp;D</w:t>
      </w:r>
      <w:r w:rsidRPr="006060E3">
        <w:rPr>
          <w:sz w:val="20"/>
          <w:szCs w:val="20"/>
        </w:rPr>
        <w:t>:</w:t>
      </w:r>
      <w:r>
        <w:rPr>
          <w:sz w:val="20"/>
          <w:szCs w:val="20"/>
        </w:rPr>
        <w:t xml:space="preserve"> Provision of in-house L&amp;D for LCC staff, foster carers and social care staff</w:t>
      </w:r>
    </w:p>
    <w:p w:rsidR="00294E9E" w:rsidRDefault="00294E9E" w:rsidP="00294E9E">
      <w:pPr>
        <w:ind w:left="33"/>
        <w:rPr>
          <w:sz w:val="20"/>
          <w:szCs w:val="20"/>
        </w:rPr>
      </w:pPr>
      <w:r w:rsidRPr="00A66ECD">
        <w:rPr>
          <w:b/>
          <w:sz w:val="20"/>
          <w:szCs w:val="20"/>
        </w:rPr>
        <w:t>Ex-Service Mentoring Programme</w:t>
      </w:r>
      <w:r>
        <w:rPr>
          <w:sz w:val="20"/>
          <w:szCs w:val="20"/>
        </w:rPr>
        <w:t xml:space="preserve"> within schools, funded from £3m reserves agreed by Cabinet in October 2012, to run from 2012 to 2017</w:t>
      </w:r>
    </w:p>
    <w:p w:rsidR="00294E9E" w:rsidRPr="00A66ECD" w:rsidRDefault="00294E9E" w:rsidP="00294E9E">
      <w:pPr>
        <w:ind w:left="33"/>
        <w:rPr>
          <w:sz w:val="20"/>
          <w:szCs w:val="20"/>
        </w:rPr>
      </w:pPr>
      <w:r w:rsidRPr="00A66ECD">
        <w:rPr>
          <w:b/>
          <w:sz w:val="20"/>
          <w:szCs w:val="20"/>
        </w:rPr>
        <w:t>Employment Support S</w:t>
      </w:r>
      <w:r>
        <w:rPr>
          <w:b/>
          <w:sz w:val="20"/>
          <w:szCs w:val="20"/>
        </w:rPr>
        <w:t xml:space="preserve">ervice (General): </w:t>
      </w:r>
      <w:r>
        <w:rPr>
          <w:sz w:val="20"/>
          <w:szCs w:val="20"/>
        </w:rPr>
        <w:t>delivers the Workstart, Future Horizons, Apprenticeships and Professional Traineeship suite of opportunities, both internally and externally.  Part of this service is funded from a £10m reserve agreed by Cabinet in June 2012 for a five year period 2012 to 2017</w:t>
      </w:r>
    </w:p>
    <w:p w:rsidR="00294E9E" w:rsidRDefault="00294E9E" w:rsidP="00294E9E">
      <w:pPr>
        <w:ind w:left="33"/>
        <w:rPr>
          <w:sz w:val="20"/>
          <w:szCs w:val="20"/>
        </w:rPr>
      </w:pPr>
      <w:r w:rsidRPr="006060E3">
        <w:rPr>
          <w:b/>
          <w:sz w:val="20"/>
          <w:szCs w:val="20"/>
        </w:rPr>
        <w:t>Skills</w:t>
      </w:r>
      <w:r>
        <w:rPr>
          <w:sz w:val="20"/>
          <w:szCs w:val="20"/>
        </w:rPr>
        <w:t>: Ensures the LA is able to meet its statutory duties in relation to post-16 education and training</w:t>
      </w:r>
    </w:p>
    <w:p w:rsidR="00C800DE" w:rsidRDefault="00C800DE" w:rsidP="00C800DE">
      <w:pPr>
        <w:ind w:left="33"/>
        <w:rPr>
          <w:rFonts w:eastAsia="Times New Roman"/>
          <w:lang w:eastAsia="en-GB"/>
        </w:rPr>
      </w:pPr>
      <w:r w:rsidRPr="00C800DE">
        <w:rPr>
          <w:rFonts w:eastAsia="Times New Roman"/>
          <w:b/>
          <w:sz w:val="20"/>
          <w:szCs w:val="20"/>
          <w:lang w:eastAsia="en-GB"/>
        </w:rPr>
        <w:t>Disability employment support service</w:t>
      </w:r>
      <w:r w:rsidR="00293901">
        <w:rPr>
          <w:rFonts w:eastAsia="Times New Roman"/>
          <w:b/>
          <w:sz w:val="20"/>
          <w:szCs w:val="20"/>
          <w:lang w:eastAsia="en-GB"/>
        </w:rPr>
        <w:t>:</w:t>
      </w:r>
      <w:r w:rsidRPr="00C800DE">
        <w:rPr>
          <w:rFonts w:eastAsia="Times New Roman"/>
          <w:sz w:val="20"/>
          <w:szCs w:val="20"/>
          <w:lang w:eastAsia="en-GB"/>
        </w:rPr>
        <w:t xml:space="preserve"> </w:t>
      </w:r>
      <w:r w:rsidRPr="00C800DE">
        <w:rPr>
          <w:rFonts w:cs="Arial"/>
          <w:sz w:val="20"/>
          <w:szCs w:val="20"/>
          <w:lang w:val="en"/>
        </w:rPr>
        <w:t>provides employment support for people with a disability, mental health needs or who are on qualifying benefits and who live within Lancashire</w:t>
      </w:r>
      <w:r w:rsidR="009D7818">
        <w:rPr>
          <w:rFonts w:cs="Arial"/>
          <w:sz w:val="20"/>
          <w:szCs w:val="20"/>
          <w:lang w:val="en"/>
        </w:rPr>
        <w:t>.</w:t>
      </w:r>
    </w:p>
    <w:sectPr w:rsidR="00C80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C052F"/>
    <w:multiLevelType w:val="hybridMultilevel"/>
    <w:tmpl w:val="68920E0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468FB"/>
    <w:multiLevelType w:val="hybridMultilevel"/>
    <w:tmpl w:val="8E5CE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F74E29"/>
    <w:multiLevelType w:val="hybridMultilevel"/>
    <w:tmpl w:val="903E4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70"/>
    <w:rsid w:val="0001389C"/>
    <w:rsid w:val="0003371D"/>
    <w:rsid w:val="00041052"/>
    <w:rsid w:val="0005672A"/>
    <w:rsid w:val="00082C02"/>
    <w:rsid w:val="00091455"/>
    <w:rsid w:val="000A4825"/>
    <w:rsid w:val="000A5324"/>
    <w:rsid w:val="000B6B3E"/>
    <w:rsid w:val="000D37F2"/>
    <w:rsid w:val="000E1F6C"/>
    <w:rsid w:val="000F04BE"/>
    <w:rsid w:val="00101DDC"/>
    <w:rsid w:val="00126AE8"/>
    <w:rsid w:val="001B2B5F"/>
    <w:rsid w:val="001B68C0"/>
    <w:rsid w:val="0020092F"/>
    <w:rsid w:val="002664EC"/>
    <w:rsid w:val="00285524"/>
    <w:rsid w:val="00286A43"/>
    <w:rsid w:val="00293901"/>
    <w:rsid w:val="00294E9E"/>
    <w:rsid w:val="002A7043"/>
    <w:rsid w:val="002B1982"/>
    <w:rsid w:val="002D53F7"/>
    <w:rsid w:val="00321FA3"/>
    <w:rsid w:val="003346A1"/>
    <w:rsid w:val="00350BD4"/>
    <w:rsid w:val="003656B0"/>
    <w:rsid w:val="00381FA7"/>
    <w:rsid w:val="003B770C"/>
    <w:rsid w:val="00402898"/>
    <w:rsid w:val="00404C0D"/>
    <w:rsid w:val="0040554A"/>
    <w:rsid w:val="0045032C"/>
    <w:rsid w:val="00484606"/>
    <w:rsid w:val="0049043D"/>
    <w:rsid w:val="00492F1C"/>
    <w:rsid w:val="004A23C6"/>
    <w:rsid w:val="0050264B"/>
    <w:rsid w:val="00514FDC"/>
    <w:rsid w:val="00587893"/>
    <w:rsid w:val="005A41C8"/>
    <w:rsid w:val="005A6D66"/>
    <w:rsid w:val="005E61CC"/>
    <w:rsid w:val="005F2F17"/>
    <w:rsid w:val="006060E3"/>
    <w:rsid w:val="00613570"/>
    <w:rsid w:val="00664DE7"/>
    <w:rsid w:val="00674316"/>
    <w:rsid w:val="0067664E"/>
    <w:rsid w:val="006C6C4E"/>
    <w:rsid w:val="00705653"/>
    <w:rsid w:val="0072756E"/>
    <w:rsid w:val="00732121"/>
    <w:rsid w:val="007736A3"/>
    <w:rsid w:val="00797373"/>
    <w:rsid w:val="007E630E"/>
    <w:rsid w:val="00815D2C"/>
    <w:rsid w:val="0083308A"/>
    <w:rsid w:val="00845E26"/>
    <w:rsid w:val="00846C87"/>
    <w:rsid w:val="00885651"/>
    <w:rsid w:val="008A2623"/>
    <w:rsid w:val="00906072"/>
    <w:rsid w:val="009535E7"/>
    <w:rsid w:val="00965234"/>
    <w:rsid w:val="009D7818"/>
    <w:rsid w:val="009E6D7D"/>
    <w:rsid w:val="00A06376"/>
    <w:rsid w:val="00A13283"/>
    <w:rsid w:val="00A22C43"/>
    <w:rsid w:val="00A62870"/>
    <w:rsid w:val="00A66ECD"/>
    <w:rsid w:val="00A74C89"/>
    <w:rsid w:val="00A94E9E"/>
    <w:rsid w:val="00AC4370"/>
    <w:rsid w:val="00AF6679"/>
    <w:rsid w:val="00B20A3F"/>
    <w:rsid w:val="00B25CB3"/>
    <w:rsid w:val="00B445D4"/>
    <w:rsid w:val="00B44E80"/>
    <w:rsid w:val="00B57DDD"/>
    <w:rsid w:val="00B601BD"/>
    <w:rsid w:val="00B60A8F"/>
    <w:rsid w:val="00B62D13"/>
    <w:rsid w:val="00B859A8"/>
    <w:rsid w:val="00BB7EC4"/>
    <w:rsid w:val="00BD239A"/>
    <w:rsid w:val="00BF2CBE"/>
    <w:rsid w:val="00C705F1"/>
    <w:rsid w:val="00C800DE"/>
    <w:rsid w:val="00CC57CC"/>
    <w:rsid w:val="00CE2FDF"/>
    <w:rsid w:val="00D11D17"/>
    <w:rsid w:val="00D23C78"/>
    <w:rsid w:val="00D4016F"/>
    <w:rsid w:val="00D467F6"/>
    <w:rsid w:val="00D51287"/>
    <w:rsid w:val="00D5394B"/>
    <w:rsid w:val="00D6594D"/>
    <w:rsid w:val="00DD22AC"/>
    <w:rsid w:val="00DE68E1"/>
    <w:rsid w:val="00DF1DB8"/>
    <w:rsid w:val="00DF7193"/>
    <w:rsid w:val="00E04738"/>
    <w:rsid w:val="00E05990"/>
    <w:rsid w:val="00E30422"/>
    <w:rsid w:val="00E43E5A"/>
    <w:rsid w:val="00E77D28"/>
    <w:rsid w:val="00EB7770"/>
    <w:rsid w:val="00ED666C"/>
    <w:rsid w:val="00EF5A27"/>
    <w:rsid w:val="00F44AFA"/>
    <w:rsid w:val="00F51432"/>
    <w:rsid w:val="00FA3D03"/>
    <w:rsid w:val="00FE0C98"/>
    <w:rsid w:val="00FE0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5ACFE-F59B-473D-B445-CD64465D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570"/>
    <w:pPr>
      <w:ind w:left="720"/>
      <w:contextualSpacing/>
    </w:pPr>
  </w:style>
  <w:style w:type="paragraph" w:styleId="BalloonText">
    <w:name w:val="Balloon Text"/>
    <w:basedOn w:val="Normal"/>
    <w:link w:val="BalloonTextChar"/>
    <w:uiPriority w:val="99"/>
    <w:semiHidden/>
    <w:unhideWhenUsed/>
    <w:rsid w:val="00BF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CBE"/>
    <w:rPr>
      <w:rFonts w:ascii="Segoe UI" w:hAnsi="Segoe UI" w:cs="Segoe UI"/>
      <w:sz w:val="18"/>
      <w:szCs w:val="18"/>
    </w:rPr>
  </w:style>
  <w:style w:type="character" w:styleId="Hyperlink">
    <w:name w:val="Hyperlink"/>
    <w:basedOn w:val="DefaultParagraphFont"/>
    <w:uiPriority w:val="99"/>
    <w:unhideWhenUsed/>
    <w:rsid w:val="00ED666C"/>
    <w:rPr>
      <w:color w:val="0563C1"/>
      <w:u w:val="single"/>
    </w:rPr>
  </w:style>
  <w:style w:type="character" w:styleId="FollowedHyperlink">
    <w:name w:val="FollowedHyperlink"/>
    <w:basedOn w:val="DefaultParagraphFont"/>
    <w:uiPriority w:val="99"/>
    <w:semiHidden/>
    <w:unhideWhenUsed/>
    <w:rsid w:val="00ED66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cil.lancashire.gov.uk/ecSDDisplay.aspx?NAME=SD1443&amp;ID=1443&amp;RPID=7643921&amp;sch=doc&amp;cat=13868&amp;path=13868" TargetMode="External"/><Relationship Id="rId5" Type="http://schemas.openxmlformats.org/officeDocument/2006/relationships/hyperlink" Target="http://council.lancashire.gov.uk/ecCatDisplay.aspx?sch=doc&amp;cat=13868&amp;path=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Nightingale, Sally</dc:creator>
  <cp:keywords/>
  <dc:description/>
  <cp:lastModifiedBy>Alker, Craig</cp:lastModifiedBy>
  <cp:revision>12</cp:revision>
  <cp:lastPrinted>2015-10-20T15:23:00Z</cp:lastPrinted>
  <dcterms:created xsi:type="dcterms:W3CDTF">2015-11-12T07:52:00Z</dcterms:created>
  <dcterms:modified xsi:type="dcterms:W3CDTF">2015-11-16T15:02:00Z</dcterms:modified>
</cp:coreProperties>
</file>